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kinsoku/>
        <w:wordWrap/>
        <w:overflowPunct w:val="0"/>
        <w:topLinePunct w:val="0"/>
        <w:autoSpaceDE/>
        <w:autoSpaceDN/>
        <w:bidi w:val="0"/>
        <w:adjustRightInd/>
        <w:snapToGrid w:val="0"/>
        <w:spacing w:line="360" w:lineRule="auto"/>
        <w:jc w:val="center"/>
        <w:textAlignment w:val="auto"/>
        <w:outlineLvl w:val="1"/>
        <w:rPr>
          <w:rFonts w:hint="eastAsia" w:ascii="宋体" w:hAnsi="宋体" w:eastAsia="宋体" w:cs="宋体"/>
          <w:b/>
          <w:bCs w:val="0"/>
          <w:sz w:val="44"/>
          <w:szCs w:val="44"/>
          <w:lang w:eastAsia="zh-CN"/>
        </w:rPr>
      </w:pPr>
      <w:r>
        <w:rPr>
          <w:rFonts w:hint="eastAsia" w:ascii="宋体" w:hAnsi="宋体" w:cs="宋体"/>
          <w:b/>
          <w:bCs w:val="0"/>
          <w:sz w:val="44"/>
          <w:szCs w:val="44"/>
          <w:lang w:eastAsia="zh-CN"/>
        </w:rPr>
        <w:t>评分标准</w:t>
      </w:r>
    </w:p>
    <w:p>
      <w:pPr>
        <w:keepNext/>
        <w:keepLines/>
        <w:pageBreakBefore w:val="0"/>
        <w:kinsoku/>
        <w:wordWrap/>
        <w:overflowPunct w:val="0"/>
        <w:topLinePunct w:val="0"/>
        <w:autoSpaceDE/>
        <w:autoSpaceDN/>
        <w:bidi w:val="0"/>
        <w:adjustRightInd/>
        <w:snapToGrid w:val="0"/>
        <w:spacing w:line="360" w:lineRule="auto"/>
        <w:jc w:val="center"/>
        <w:textAlignment w:val="auto"/>
        <w:outlineLvl w:val="1"/>
        <w:rPr>
          <w:rFonts w:hint="eastAsia" w:ascii="宋体" w:hAnsi="宋体" w:eastAsia="宋体" w:cs="宋体"/>
          <w:bCs/>
          <w:sz w:val="24"/>
          <w:szCs w:val="24"/>
        </w:rPr>
      </w:pPr>
    </w:p>
    <w:p>
      <w:pPr>
        <w:keepNext/>
        <w:keepLines/>
        <w:pageBreakBefore w:val="0"/>
        <w:kinsoku/>
        <w:wordWrap/>
        <w:overflowPunct w:val="0"/>
        <w:topLinePunct w:val="0"/>
        <w:autoSpaceDE/>
        <w:autoSpaceDN/>
        <w:bidi w:val="0"/>
        <w:adjustRightInd/>
        <w:snapToGrid w:val="0"/>
        <w:spacing w:line="360" w:lineRule="auto"/>
        <w:jc w:val="center"/>
        <w:textAlignment w:val="auto"/>
        <w:outlineLvl w:val="1"/>
        <w:rPr>
          <w:rFonts w:hint="eastAsia" w:ascii="宋体" w:hAnsi="宋体" w:eastAsia="宋体" w:cs="宋体"/>
          <w:bCs/>
          <w:sz w:val="24"/>
          <w:szCs w:val="24"/>
        </w:rPr>
      </w:pPr>
      <w:r>
        <w:rPr>
          <w:rFonts w:hint="eastAsia" w:ascii="宋体" w:hAnsi="宋体" w:eastAsia="宋体" w:cs="宋体"/>
          <w:bCs/>
          <w:sz w:val="24"/>
          <w:szCs w:val="24"/>
        </w:rPr>
        <w:t>一、评标办法</w:t>
      </w:r>
    </w:p>
    <w:p>
      <w:pPr>
        <w:pageBreakBefore w:val="0"/>
        <w:kinsoku/>
        <w:wordWrap/>
        <w:topLinePunct w:val="0"/>
        <w:autoSpaceDE/>
        <w:autoSpaceDN/>
        <w:bidi w:val="0"/>
        <w:adjustRightInd/>
        <w:spacing w:line="360" w:lineRule="auto"/>
        <w:ind w:firstLine="480" w:firstLineChars="200"/>
        <w:textAlignment w:val="auto"/>
        <w:rPr>
          <w:rFonts w:hint="eastAsia" w:ascii="宋体" w:hAnsi="宋体" w:eastAsia="宋体" w:cs="宋体"/>
          <w:bCs/>
          <w:sz w:val="24"/>
          <w:szCs w:val="24"/>
        </w:rPr>
      </w:pPr>
      <w:r>
        <w:rPr>
          <w:rFonts w:hint="eastAsia" w:ascii="宋体" w:hAnsi="宋体" w:eastAsia="宋体" w:cs="宋体"/>
          <w:bCs/>
          <w:sz w:val="24"/>
          <w:szCs w:val="24"/>
        </w:rPr>
        <w:t>本次招标评标采用综合评分法，即在满足招标文件实质性要求前提下，按照招标文件中规定的评分标准和各项因素进行综合评审后，以评标总得分最高的投标人作为中标候选人。</w:t>
      </w:r>
    </w:p>
    <w:p>
      <w:pPr>
        <w:keepNext/>
        <w:keepLines/>
        <w:pageBreakBefore w:val="0"/>
        <w:kinsoku/>
        <w:wordWrap/>
        <w:overflowPunct w:val="0"/>
        <w:topLinePunct w:val="0"/>
        <w:autoSpaceDE/>
        <w:autoSpaceDN/>
        <w:bidi w:val="0"/>
        <w:adjustRightInd/>
        <w:spacing w:line="360" w:lineRule="auto"/>
        <w:jc w:val="center"/>
        <w:textAlignment w:val="auto"/>
        <w:outlineLvl w:val="1"/>
        <w:rPr>
          <w:rFonts w:hint="eastAsia" w:ascii="宋体" w:hAnsi="宋体" w:eastAsia="宋体" w:cs="宋体"/>
          <w:bCs/>
          <w:sz w:val="24"/>
          <w:szCs w:val="24"/>
        </w:rPr>
      </w:pPr>
    </w:p>
    <w:p>
      <w:pPr>
        <w:keepNext/>
        <w:keepLines/>
        <w:pageBreakBefore w:val="0"/>
        <w:kinsoku/>
        <w:wordWrap/>
        <w:overflowPunct w:val="0"/>
        <w:topLinePunct w:val="0"/>
        <w:autoSpaceDE/>
        <w:autoSpaceDN/>
        <w:bidi w:val="0"/>
        <w:adjustRightInd/>
        <w:spacing w:line="360" w:lineRule="auto"/>
        <w:jc w:val="center"/>
        <w:textAlignment w:val="auto"/>
        <w:outlineLvl w:val="1"/>
        <w:rPr>
          <w:rFonts w:hint="eastAsia" w:ascii="宋体" w:hAnsi="宋体" w:eastAsia="宋体" w:cs="宋体"/>
          <w:bCs/>
          <w:sz w:val="24"/>
          <w:szCs w:val="24"/>
        </w:rPr>
      </w:pPr>
    </w:p>
    <w:p>
      <w:pPr>
        <w:keepNext/>
        <w:keepLines/>
        <w:pageBreakBefore w:val="0"/>
        <w:kinsoku/>
        <w:wordWrap/>
        <w:overflowPunct w:val="0"/>
        <w:topLinePunct w:val="0"/>
        <w:autoSpaceDE/>
        <w:autoSpaceDN/>
        <w:bidi w:val="0"/>
        <w:adjustRightInd/>
        <w:spacing w:line="360" w:lineRule="auto"/>
        <w:jc w:val="center"/>
        <w:textAlignment w:val="auto"/>
        <w:outlineLvl w:val="1"/>
        <w:rPr>
          <w:rFonts w:hint="eastAsia" w:ascii="宋体" w:hAnsi="宋体" w:eastAsia="宋体" w:cs="宋体"/>
          <w:bCs/>
          <w:sz w:val="24"/>
          <w:szCs w:val="24"/>
        </w:rPr>
      </w:pPr>
    </w:p>
    <w:p>
      <w:pPr>
        <w:pStyle w:val="4"/>
        <w:rPr>
          <w:rFonts w:hint="eastAsia" w:ascii="宋体" w:hAnsi="宋体" w:eastAsia="宋体" w:cs="宋体"/>
          <w:bCs/>
          <w:sz w:val="24"/>
          <w:szCs w:val="24"/>
        </w:rPr>
      </w:pPr>
    </w:p>
    <w:p>
      <w:pPr>
        <w:rPr>
          <w:rFonts w:hint="eastAsia" w:ascii="宋体" w:hAnsi="宋体" w:eastAsia="宋体" w:cs="宋体"/>
          <w:bCs/>
          <w:sz w:val="24"/>
          <w:szCs w:val="24"/>
        </w:rPr>
      </w:pPr>
    </w:p>
    <w:p>
      <w:pPr>
        <w:pStyle w:val="4"/>
        <w:rPr>
          <w:rFonts w:hint="eastAsia" w:ascii="宋体" w:hAnsi="宋体" w:eastAsia="宋体" w:cs="宋体"/>
          <w:bCs/>
          <w:sz w:val="24"/>
          <w:szCs w:val="24"/>
        </w:rPr>
      </w:pPr>
    </w:p>
    <w:p>
      <w:pPr>
        <w:rPr>
          <w:rFonts w:hint="eastAsia"/>
        </w:rPr>
      </w:pPr>
    </w:p>
    <w:p>
      <w:pPr>
        <w:pStyle w:val="4"/>
        <w:rPr>
          <w:rFonts w:hint="eastAsia"/>
        </w:rPr>
      </w:pPr>
    </w:p>
    <w:p>
      <w:pPr>
        <w:pStyle w:val="4"/>
        <w:rPr>
          <w:rFonts w:hint="eastAsia"/>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keepNext/>
        <w:keepLines/>
        <w:pageBreakBefore w:val="0"/>
        <w:kinsoku/>
        <w:wordWrap/>
        <w:overflowPunct w:val="0"/>
        <w:topLinePunct w:val="0"/>
        <w:autoSpaceDE/>
        <w:autoSpaceDN/>
        <w:bidi w:val="0"/>
        <w:adjustRightInd/>
        <w:spacing w:line="360" w:lineRule="auto"/>
        <w:jc w:val="center"/>
        <w:textAlignment w:val="auto"/>
        <w:outlineLvl w:val="1"/>
        <w:rPr>
          <w:rFonts w:hint="eastAsia" w:ascii="宋体" w:hAnsi="宋体" w:eastAsia="宋体" w:cs="宋体"/>
          <w:bCs/>
          <w:sz w:val="24"/>
          <w:szCs w:val="24"/>
          <w:lang w:eastAsia="zh-CN"/>
        </w:rPr>
      </w:pPr>
      <w:r>
        <w:rPr>
          <w:rFonts w:hint="eastAsia" w:ascii="宋体" w:hAnsi="宋体" w:eastAsia="宋体" w:cs="宋体"/>
          <w:bCs/>
          <w:sz w:val="24"/>
          <w:szCs w:val="24"/>
        </w:rPr>
        <w:t>二、评分</w:t>
      </w:r>
      <w:r>
        <w:rPr>
          <w:rFonts w:hint="eastAsia" w:ascii="宋体" w:hAnsi="宋体" w:eastAsia="宋体" w:cs="宋体"/>
          <w:bCs/>
          <w:sz w:val="24"/>
          <w:szCs w:val="24"/>
          <w:lang w:eastAsia="zh-CN"/>
        </w:rPr>
        <w:t>细则</w:t>
      </w:r>
    </w:p>
    <w:p>
      <w:pPr>
        <w:pStyle w:val="3"/>
        <w:spacing w:before="158" w:line="360" w:lineRule="auto"/>
        <w:jc w:val="left"/>
        <w:rPr>
          <w:rFonts w:hint="eastAsia" w:ascii="宋体" w:hAnsi="宋体" w:eastAsia="宋体" w:cs="宋体"/>
          <w:sz w:val="24"/>
          <w:szCs w:val="24"/>
        </w:rPr>
      </w:pPr>
      <w:r>
        <w:rPr>
          <w:rFonts w:hint="eastAsia" w:ascii="宋体" w:hAnsi="宋体" w:eastAsia="宋体" w:cs="宋体"/>
          <w:sz w:val="24"/>
          <w:szCs w:val="24"/>
        </w:rPr>
        <w:t>1、价格分（</w:t>
      </w:r>
      <w:r>
        <w:rPr>
          <w:rFonts w:hint="eastAsia" w:ascii="宋体" w:hAnsi="宋体" w:cs="宋体"/>
          <w:sz w:val="24"/>
          <w:szCs w:val="24"/>
          <w:lang w:val="en-US" w:eastAsia="zh-CN"/>
        </w:rPr>
        <w:t>30</w:t>
      </w:r>
      <w:r>
        <w:rPr>
          <w:rFonts w:hint="eastAsia" w:ascii="宋体" w:hAnsi="宋体" w:eastAsia="宋体" w:cs="宋体"/>
          <w:sz w:val="24"/>
          <w:szCs w:val="24"/>
        </w:rPr>
        <w:t>分）</w:t>
      </w:r>
    </w:p>
    <w:p>
      <w:pPr>
        <w:pStyle w:val="7"/>
        <w:pageBreakBefore w:val="0"/>
        <w:tabs>
          <w:tab w:val="left" w:pos="0"/>
        </w:tabs>
        <w:kinsoku/>
        <w:wordWrap/>
        <w:topLinePunct w:val="0"/>
        <w:autoSpaceDE/>
        <w:autoSpaceDN/>
        <w:bidi w:val="0"/>
        <w:adjustRightInd/>
        <w:spacing w:after="0" w:line="360" w:lineRule="auto"/>
        <w:ind w:left="0" w:firstLine="482" w:firstLineChars="200"/>
        <w:textAlignment w:val="auto"/>
        <w:rPr>
          <w:rFonts w:hint="eastAsia" w:ascii="宋体" w:hAnsi="宋体" w:eastAsia="宋体" w:cs="宋体"/>
          <w:b/>
          <w:bCs w:val="0"/>
          <w:sz w:val="24"/>
          <w:szCs w:val="24"/>
        </w:rPr>
      </w:pPr>
      <w:r>
        <w:rPr>
          <w:rFonts w:hint="eastAsia" w:ascii="宋体" w:hAnsi="宋体" w:eastAsia="宋体" w:cs="宋体"/>
          <w:b/>
          <w:bCs w:val="0"/>
          <w:sz w:val="24"/>
          <w:szCs w:val="24"/>
        </w:rPr>
        <w:t>以进入评标程序、满足招标文件要求且报价最低的有效投标报价为评标基准价，其价格分为满分</w:t>
      </w:r>
      <w:r>
        <w:rPr>
          <w:rFonts w:hint="eastAsia" w:ascii="宋体" w:hAnsi="宋体" w:cs="宋体"/>
          <w:b/>
          <w:bCs w:val="0"/>
          <w:sz w:val="24"/>
          <w:szCs w:val="24"/>
          <w:lang w:val="en-US" w:eastAsia="zh-CN"/>
        </w:rPr>
        <w:t>30</w:t>
      </w:r>
      <w:r>
        <w:rPr>
          <w:rFonts w:hint="eastAsia" w:ascii="宋体" w:hAnsi="宋体" w:eastAsia="宋体" w:cs="宋体"/>
          <w:b/>
          <w:bCs w:val="0"/>
          <w:sz w:val="24"/>
          <w:szCs w:val="24"/>
        </w:rPr>
        <w:t>分。</w:t>
      </w:r>
    </w:p>
    <w:p>
      <w:pPr>
        <w:pStyle w:val="7"/>
        <w:pageBreakBefore w:val="0"/>
        <w:tabs>
          <w:tab w:val="left" w:pos="0"/>
        </w:tabs>
        <w:kinsoku/>
        <w:wordWrap/>
        <w:topLinePunct w:val="0"/>
        <w:autoSpaceDE/>
        <w:autoSpaceDN/>
        <w:bidi w:val="0"/>
        <w:adjustRightInd/>
        <w:spacing w:after="0" w:line="360" w:lineRule="auto"/>
        <w:ind w:left="0" w:firstLine="482" w:firstLineChars="200"/>
        <w:textAlignment w:val="auto"/>
        <w:rPr>
          <w:rFonts w:hint="eastAsia" w:ascii="宋体" w:hAnsi="宋体" w:eastAsia="宋体" w:cs="宋体"/>
          <w:b/>
          <w:bCs w:val="0"/>
          <w:sz w:val="24"/>
          <w:szCs w:val="24"/>
        </w:rPr>
      </w:pPr>
      <w:r>
        <w:rPr>
          <w:rFonts w:hint="eastAsia" w:ascii="宋体" w:hAnsi="宋体" w:eastAsia="宋体" w:cs="宋体"/>
          <w:b/>
          <w:bCs w:val="0"/>
          <w:sz w:val="24"/>
          <w:szCs w:val="24"/>
        </w:rPr>
        <w:t>其他投标人的价格分按照下列公式计算：投标报价得分=（评标基准价/投标报价）×价格权值×100（价格权值为</w:t>
      </w:r>
      <w:r>
        <w:rPr>
          <w:rFonts w:hint="eastAsia" w:ascii="宋体" w:hAnsi="宋体" w:cs="宋体"/>
          <w:b/>
          <w:bCs w:val="0"/>
          <w:sz w:val="24"/>
          <w:szCs w:val="24"/>
          <w:lang w:val="en-US" w:eastAsia="zh-CN"/>
        </w:rPr>
        <w:t>30</w:t>
      </w:r>
      <w:r>
        <w:rPr>
          <w:rFonts w:hint="eastAsia" w:ascii="宋体" w:hAnsi="宋体" w:eastAsia="宋体" w:cs="宋体"/>
          <w:b/>
          <w:bCs w:val="0"/>
          <w:sz w:val="24"/>
          <w:szCs w:val="24"/>
        </w:rPr>
        <w:t>%）</w:t>
      </w:r>
      <w:r>
        <w:rPr>
          <w:rFonts w:hint="eastAsia" w:ascii="宋体" w:hAnsi="宋体" w:eastAsia="宋体" w:cs="宋体"/>
          <w:b/>
          <w:bCs w:val="0"/>
          <w:sz w:val="24"/>
          <w:szCs w:val="24"/>
          <w:lang w:eastAsia="zh-CN"/>
        </w:rPr>
        <w:t>。</w:t>
      </w:r>
      <w:r>
        <w:rPr>
          <w:rFonts w:hint="eastAsia" w:ascii="宋体" w:hAnsi="宋体" w:eastAsia="宋体" w:cs="宋体"/>
          <w:b/>
          <w:bCs w:val="0"/>
          <w:sz w:val="24"/>
          <w:szCs w:val="24"/>
        </w:rPr>
        <w:t>在评审过程中，评委会发现投标人的报价或者某些分项报价明显不合理或者低于成本，有可能影响商品质量和不能诚信履约的，应当要求其在规定的期限内提供书面文件及仪器报关单予以解释说明，并提交相关证明材料；否则，评委会可以认定该投标报价为无效报价，得0分。</w:t>
      </w:r>
    </w:p>
    <w:p>
      <w:pPr>
        <w:pStyle w:val="3"/>
        <w:spacing w:line="240" w:lineRule="auto"/>
        <w:jc w:val="left"/>
        <w:rPr>
          <w:rFonts w:hint="eastAsia" w:ascii="宋体" w:hAnsi="宋体" w:eastAsia="宋体" w:cs="宋体"/>
          <w:b/>
          <w:bCs w:val="0"/>
          <w:sz w:val="24"/>
          <w:szCs w:val="24"/>
        </w:rPr>
      </w:pPr>
    </w:p>
    <w:p>
      <w:pPr>
        <w:pStyle w:val="3"/>
        <w:spacing w:line="360" w:lineRule="auto"/>
        <w:jc w:val="left"/>
        <w:rPr>
          <w:rFonts w:hint="eastAsia" w:ascii="宋体" w:hAnsi="宋体" w:eastAsia="宋体" w:cs="宋体"/>
          <w:sz w:val="24"/>
          <w:szCs w:val="24"/>
        </w:rPr>
      </w:pPr>
      <w:r>
        <w:rPr>
          <w:rFonts w:hint="eastAsia" w:ascii="宋体" w:hAnsi="宋体" w:eastAsia="宋体" w:cs="宋体"/>
          <w:sz w:val="24"/>
          <w:szCs w:val="24"/>
        </w:rPr>
        <w:t>2、技术分（</w:t>
      </w:r>
      <w:r>
        <w:rPr>
          <w:rFonts w:hint="eastAsia" w:ascii="宋体" w:hAnsi="宋体" w:cs="宋体"/>
          <w:sz w:val="24"/>
          <w:szCs w:val="24"/>
          <w:lang w:val="en-US" w:eastAsia="zh-CN"/>
        </w:rPr>
        <w:t>70</w:t>
      </w:r>
      <w:r>
        <w:rPr>
          <w:rFonts w:hint="eastAsia" w:ascii="宋体" w:hAnsi="宋体" w:eastAsia="宋体" w:cs="宋体"/>
          <w:sz w:val="24"/>
          <w:szCs w:val="24"/>
        </w:rPr>
        <w:t>分）</w:t>
      </w:r>
    </w:p>
    <w:tbl>
      <w:tblPr>
        <w:tblStyle w:val="5"/>
        <w:tblpPr w:leftFromText="180" w:rightFromText="180" w:vertAnchor="text" w:horzAnchor="page" w:tblpX="1370" w:tblpY="569"/>
        <w:tblOverlap w:val="never"/>
        <w:tblW w:w="1421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8"/>
        <w:gridCol w:w="1339"/>
        <w:gridCol w:w="10097"/>
        <w:gridCol w:w="19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828" w:type="dxa"/>
            <w:tcBorders>
              <w:tl2br w:val="nil"/>
              <w:tr2bl w:val="nil"/>
            </w:tcBorders>
            <w:noWrap w:val="0"/>
            <w:vAlign w:val="top"/>
          </w:tcPr>
          <w:p>
            <w:pPr>
              <w:pStyle w:val="8"/>
              <w:spacing w:before="23" w:line="360" w:lineRule="auto"/>
              <w:ind w:left="152" w:right="143"/>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1339" w:type="dxa"/>
            <w:tcBorders>
              <w:tl2br w:val="nil"/>
              <w:tr2bl w:val="nil"/>
            </w:tcBorders>
            <w:noWrap w:val="0"/>
            <w:vAlign w:val="top"/>
          </w:tcPr>
          <w:p>
            <w:pPr>
              <w:pStyle w:val="8"/>
              <w:spacing w:before="23" w:line="360" w:lineRule="auto"/>
              <w:ind w:left="167" w:right="158"/>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评审项目</w:t>
            </w:r>
          </w:p>
        </w:tc>
        <w:tc>
          <w:tcPr>
            <w:tcW w:w="10097" w:type="dxa"/>
            <w:tcBorders>
              <w:tl2br w:val="nil"/>
              <w:tr2bl w:val="nil"/>
            </w:tcBorders>
            <w:noWrap w:val="0"/>
            <w:vAlign w:val="top"/>
          </w:tcPr>
          <w:p>
            <w:pPr>
              <w:pStyle w:val="8"/>
              <w:spacing w:before="23" w:line="360" w:lineRule="auto"/>
              <w:ind w:left="2519" w:right="2507"/>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分项内容</w:t>
            </w:r>
          </w:p>
        </w:tc>
        <w:tc>
          <w:tcPr>
            <w:tcW w:w="1950" w:type="dxa"/>
            <w:tcBorders>
              <w:tl2br w:val="nil"/>
              <w:tr2bl w:val="nil"/>
            </w:tcBorders>
            <w:noWrap w:val="0"/>
            <w:vAlign w:val="top"/>
          </w:tcPr>
          <w:p>
            <w:pPr>
              <w:pStyle w:val="8"/>
              <w:spacing w:before="23" w:line="360" w:lineRule="auto"/>
              <w:ind w:left="177" w:right="164"/>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满分值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0" w:hRule="atLeast"/>
        </w:trPr>
        <w:tc>
          <w:tcPr>
            <w:tcW w:w="828" w:type="dxa"/>
            <w:tcBorders>
              <w:tl2br w:val="nil"/>
              <w:tr2bl w:val="nil"/>
            </w:tcBorders>
            <w:noWrap w:val="0"/>
            <w:vAlign w:val="center"/>
          </w:tcPr>
          <w:p>
            <w:pPr>
              <w:pStyle w:val="8"/>
              <w:spacing w:line="360" w:lineRule="auto"/>
              <w:jc w:val="center"/>
              <w:rPr>
                <w:rFonts w:hint="eastAsia" w:ascii="仿宋_GB2312" w:hAnsi="仿宋_GB2312" w:eastAsia="仿宋_GB2312" w:cs="仿宋_GB2312"/>
                <w:b/>
                <w:sz w:val="24"/>
                <w:szCs w:val="24"/>
              </w:rPr>
            </w:pPr>
          </w:p>
          <w:p>
            <w:pPr>
              <w:pStyle w:val="8"/>
              <w:spacing w:line="360" w:lineRule="auto"/>
              <w:jc w:val="center"/>
              <w:rPr>
                <w:rFonts w:hint="eastAsia" w:ascii="仿宋_GB2312" w:hAnsi="仿宋_GB2312" w:eastAsia="仿宋_GB2312" w:cs="仿宋_GB2312"/>
                <w:b/>
                <w:sz w:val="24"/>
                <w:szCs w:val="24"/>
              </w:rPr>
            </w:pPr>
          </w:p>
          <w:p>
            <w:pPr>
              <w:pStyle w:val="8"/>
              <w:spacing w:before="4" w:line="360" w:lineRule="auto"/>
              <w:jc w:val="center"/>
              <w:rPr>
                <w:rFonts w:hint="eastAsia" w:ascii="仿宋_GB2312" w:hAnsi="仿宋_GB2312" w:eastAsia="仿宋_GB2312" w:cs="仿宋_GB2312"/>
                <w:b/>
                <w:sz w:val="24"/>
                <w:szCs w:val="24"/>
              </w:rPr>
            </w:pPr>
          </w:p>
          <w:p>
            <w:pPr>
              <w:pStyle w:val="8"/>
              <w:spacing w:before="4" w:line="360" w:lineRule="auto"/>
              <w:jc w:val="center"/>
              <w:rPr>
                <w:rFonts w:hint="eastAsia" w:ascii="仿宋_GB2312" w:hAnsi="仿宋_GB2312" w:eastAsia="仿宋_GB2312" w:cs="仿宋_GB2312"/>
                <w:b/>
                <w:sz w:val="24"/>
                <w:szCs w:val="24"/>
              </w:rPr>
            </w:pPr>
          </w:p>
          <w:p>
            <w:pPr>
              <w:pStyle w:val="8"/>
              <w:spacing w:before="4" w:line="360" w:lineRule="auto"/>
              <w:jc w:val="center"/>
              <w:rPr>
                <w:rFonts w:hint="eastAsia" w:ascii="仿宋_GB2312" w:hAnsi="仿宋_GB2312" w:eastAsia="仿宋_GB2312" w:cs="仿宋_GB2312"/>
                <w:b/>
                <w:sz w:val="24"/>
                <w:szCs w:val="24"/>
              </w:rPr>
            </w:pPr>
          </w:p>
          <w:p>
            <w:pPr>
              <w:pStyle w:val="8"/>
              <w:spacing w:before="4" w:line="360" w:lineRule="auto"/>
              <w:jc w:val="center"/>
              <w:rPr>
                <w:rFonts w:hint="eastAsia" w:ascii="仿宋_GB2312" w:hAnsi="仿宋_GB2312" w:eastAsia="仿宋_GB2312" w:cs="仿宋_GB2312"/>
                <w:b/>
                <w:sz w:val="24"/>
                <w:szCs w:val="24"/>
              </w:rPr>
            </w:pPr>
          </w:p>
          <w:p>
            <w:pPr>
              <w:pStyle w:val="8"/>
              <w:spacing w:line="36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1339" w:type="dxa"/>
            <w:tcBorders>
              <w:tl2br w:val="nil"/>
              <w:tr2bl w:val="nil"/>
            </w:tcBorders>
            <w:noWrap w:val="0"/>
            <w:vAlign w:val="center"/>
          </w:tcPr>
          <w:p>
            <w:pPr>
              <w:pStyle w:val="8"/>
              <w:spacing w:line="360" w:lineRule="auto"/>
              <w:jc w:val="center"/>
              <w:rPr>
                <w:rFonts w:hint="eastAsia" w:ascii="仿宋_GB2312" w:hAnsi="仿宋_GB2312" w:eastAsia="仿宋_GB2312" w:cs="仿宋_GB2312"/>
                <w:b/>
                <w:sz w:val="24"/>
                <w:szCs w:val="24"/>
              </w:rPr>
            </w:pPr>
          </w:p>
          <w:p>
            <w:pPr>
              <w:pStyle w:val="8"/>
              <w:spacing w:before="2" w:line="360" w:lineRule="auto"/>
              <w:jc w:val="center"/>
              <w:rPr>
                <w:rFonts w:hint="eastAsia" w:ascii="仿宋_GB2312" w:hAnsi="仿宋_GB2312" w:eastAsia="仿宋_GB2312" w:cs="仿宋_GB2312"/>
                <w:b/>
                <w:sz w:val="24"/>
                <w:szCs w:val="24"/>
              </w:rPr>
            </w:pPr>
          </w:p>
          <w:p>
            <w:pPr>
              <w:pStyle w:val="8"/>
              <w:spacing w:before="2" w:line="360" w:lineRule="auto"/>
              <w:jc w:val="center"/>
              <w:rPr>
                <w:rFonts w:hint="eastAsia" w:ascii="仿宋_GB2312" w:hAnsi="仿宋_GB2312" w:eastAsia="仿宋_GB2312" w:cs="仿宋_GB2312"/>
                <w:b/>
                <w:sz w:val="24"/>
                <w:szCs w:val="24"/>
              </w:rPr>
            </w:pPr>
          </w:p>
          <w:p>
            <w:pPr>
              <w:pStyle w:val="8"/>
              <w:spacing w:before="2" w:line="360" w:lineRule="auto"/>
              <w:jc w:val="center"/>
              <w:rPr>
                <w:rFonts w:hint="eastAsia" w:ascii="仿宋_GB2312" w:hAnsi="仿宋_GB2312" w:eastAsia="仿宋_GB2312" w:cs="仿宋_GB2312"/>
                <w:b/>
                <w:sz w:val="24"/>
                <w:szCs w:val="24"/>
              </w:rPr>
            </w:pPr>
          </w:p>
          <w:p>
            <w:pPr>
              <w:pStyle w:val="8"/>
              <w:spacing w:before="2" w:line="360" w:lineRule="auto"/>
              <w:jc w:val="center"/>
              <w:rPr>
                <w:rFonts w:hint="eastAsia" w:ascii="仿宋_GB2312" w:hAnsi="仿宋_GB2312" w:eastAsia="仿宋_GB2312" w:cs="仿宋_GB2312"/>
                <w:b/>
                <w:sz w:val="24"/>
                <w:szCs w:val="24"/>
              </w:rPr>
            </w:pPr>
          </w:p>
          <w:p>
            <w:pPr>
              <w:pStyle w:val="8"/>
              <w:spacing w:before="2" w:line="360" w:lineRule="auto"/>
              <w:jc w:val="center"/>
              <w:rPr>
                <w:rFonts w:hint="eastAsia" w:ascii="仿宋_GB2312" w:hAnsi="仿宋_GB2312" w:eastAsia="仿宋_GB2312" w:cs="仿宋_GB2312"/>
                <w:b/>
                <w:sz w:val="24"/>
                <w:szCs w:val="24"/>
              </w:rPr>
            </w:pPr>
          </w:p>
          <w:p>
            <w:pPr>
              <w:pStyle w:val="8"/>
              <w:spacing w:line="360" w:lineRule="auto"/>
              <w:ind w:left="308" w:right="178" w:hanging="12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参选人综合实力</w:t>
            </w:r>
          </w:p>
        </w:tc>
        <w:tc>
          <w:tcPr>
            <w:tcW w:w="10097" w:type="dxa"/>
            <w:tcBorders>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kern w:val="2"/>
                <w:sz w:val="24"/>
                <w:szCs w:val="24"/>
                <w:lang w:val="zh-CN" w:eastAsia="zh-CN" w:bidi="zh-CN"/>
              </w:rPr>
            </w:pPr>
            <w:r>
              <w:rPr>
                <w:rFonts w:hint="eastAsia" w:ascii="仿宋_GB2312" w:hAnsi="仿宋_GB2312" w:eastAsia="仿宋_GB2312" w:cs="仿宋_GB2312"/>
                <w:kern w:val="2"/>
                <w:sz w:val="24"/>
                <w:szCs w:val="24"/>
                <w:lang w:val="zh-CN" w:eastAsia="zh-CN" w:bidi="zh-CN"/>
              </w:rPr>
              <w:t>（</w:t>
            </w:r>
            <w:r>
              <w:rPr>
                <w:rFonts w:hint="eastAsia" w:ascii="仿宋_GB2312" w:hAnsi="仿宋_GB2312" w:eastAsia="仿宋_GB2312" w:cs="仿宋_GB2312"/>
                <w:kern w:val="2"/>
                <w:sz w:val="24"/>
                <w:szCs w:val="24"/>
                <w:lang w:val="en-US" w:eastAsia="zh-CN" w:bidi="zh-CN"/>
              </w:rPr>
              <w:t>1</w:t>
            </w:r>
            <w:r>
              <w:rPr>
                <w:rFonts w:hint="eastAsia" w:ascii="仿宋_GB2312" w:hAnsi="仿宋_GB2312" w:eastAsia="仿宋_GB2312" w:cs="仿宋_GB2312"/>
                <w:kern w:val="2"/>
                <w:sz w:val="24"/>
                <w:szCs w:val="24"/>
                <w:lang w:val="zh-CN" w:eastAsia="zh-CN" w:bidi="zh-CN"/>
              </w:rPr>
              <w:t xml:space="preserve">）拟投入项目成员中具有中国卫生监督协会颁发的放射卫生检测与评价技术培训考核合格证书的，具有 </w:t>
            </w:r>
            <w:r>
              <w:rPr>
                <w:rFonts w:hint="eastAsia" w:ascii="仿宋_GB2312" w:hAnsi="仿宋_GB2312" w:eastAsia="仿宋_GB2312" w:cs="仿宋_GB2312"/>
                <w:kern w:val="2"/>
                <w:sz w:val="24"/>
                <w:szCs w:val="24"/>
                <w:lang w:val="en-US" w:eastAsia="zh-CN" w:bidi="zh-CN"/>
              </w:rPr>
              <w:t>1</w:t>
            </w:r>
            <w:r>
              <w:rPr>
                <w:rFonts w:hint="eastAsia" w:ascii="仿宋_GB2312" w:hAnsi="仿宋_GB2312" w:eastAsia="仿宋_GB2312" w:cs="仿宋_GB2312"/>
                <w:kern w:val="2"/>
                <w:sz w:val="24"/>
                <w:szCs w:val="24"/>
                <w:lang w:val="zh-CN" w:eastAsia="zh-CN" w:bidi="zh-CN"/>
              </w:rPr>
              <w:t xml:space="preserve">名得 </w:t>
            </w:r>
            <w:r>
              <w:rPr>
                <w:rFonts w:hint="eastAsia" w:ascii="仿宋_GB2312" w:hAnsi="仿宋_GB2312" w:eastAsia="仿宋_GB2312" w:cs="仿宋_GB2312"/>
                <w:kern w:val="2"/>
                <w:sz w:val="24"/>
                <w:szCs w:val="24"/>
                <w:lang w:val="en-US" w:eastAsia="zh-CN" w:bidi="zh-CN"/>
              </w:rPr>
              <w:t>2</w:t>
            </w:r>
            <w:r>
              <w:rPr>
                <w:rFonts w:hint="eastAsia" w:ascii="仿宋_GB2312" w:hAnsi="仿宋_GB2312" w:eastAsia="仿宋_GB2312" w:cs="仿宋_GB2312"/>
                <w:kern w:val="2"/>
                <w:sz w:val="24"/>
                <w:szCs w:val="24"/>
                <w:lang w:val="zh-CN" w:eastAsia="zh-CN" w:bidi="zh-CN"/>
              </w:rPr>
              <w:t xml:space="preserve">分，最高得 </w:t>
            </w:r>
            <w:r>
              <w:rPr>
                <w:rFonts w:hint="eastAsia" w:ascii="仿宋_GB2312" w:hAnsi="仿宋_GB2312" w:eastAsia="仿宋_GB2312" w:cs="仿宋_GB2312"/>
                <w:kern w:val="2"/>
                <w:sz w:val="24"/>
                <w:szCs w:val="24"/>
                <w:lang w:val="en-US" w:eastAsia="zh-CN" w:bidi="zh-CN"/>
              </w:rPr>
              <w:t>10</w:t>
            </w:r>
            <w:r>
              <w:rPr>
                <w:rFonts w:hint="eastAsia" w:ascii="仿宋_GB2312" w:hAnsi="仿宋_GB2312" w:eastAsia="仿宋_GB2312" w:cs="仿宋_GB2312"/>
                <w:kern w:val="2"/>
                <w:sz w:val="24"/>
                <w:szCs w:val="24"/>
                <w:lang w:val="zh-CN" w:eastAsia="zh-CN" w:bidi="zh-CN"/>
              </w:rPr>
              <w:t>分，没有不得分。</w:t>
            </w:r>
            <w:r>
              <w:rPr>
                <w:rFonts w:hint="eastAsia" w:ascii="仿宋_GB2312" w:hAnsi="仿宋_GB2312" w:eastAsia="仿宋_GB2312" w:cs="仿宋_GB2312"/>
                <w:sz w:val="24"/>
                <w:szCs w:val="24"/>
              </w:rPr>
              <w:t>（需提供证书复印件及投标单位近期三</w:t>
            </w:r>
            <w:r>
              <w:rPr>
                <w:rFonts w:hint="eastAsia" w:ascii="仿宋_GB2312" w:hAnsi="仿宋_GB2312" w:eastAsia="仿宋_GB2312" w:cs="仿宋_GB2312"/>
                <w:kern w:val="2"/>
                <w:sz w:val="24"/>
                <w:szCs w:val="24"/>
                <w:lang w:val="zh-CN" w:eastAsia="zh-CN" w:bidi="zh-CN"/>
              </w:rPr>
              <w:t>个月为其缴纳的社保证明）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kern w:val="2"/>
                <w:sz w:val="24"/>
                <w:szCs w:val="24"/>
                <w:lang w:val="zh-CN" w:eastAsia="zh-CN" w:bidi="zh-CN"/>
              </w:rPr>
            </w:pPr>
            <w:r>
              <w:rPr>
                <w:rFonts w:hint="eastAsia" w:ascii="仿宋_GB2312" w:hAnsi="仿宋_GB2312" w:eastAsia="仿宋_GB2312" w:cs="仿宋_GB2312"/>
                <w:kern w:val="2"/>
                <w:sz w:val="24"/>
                <w:szCs w:val="24"/>
                <w:lang w:val="en-US" w:eastAsia="zh-CN" w:bidi="zh-CN"/>
              </w:rPr>
              <w:t>（2）参选人</w:t>
            </w:r>
            <w:r>
              <w:rPr>
                <w:rFonts w:hint="eastAsia" w:ascii="仿宋_GB2312" w:hAnsi="仿宋_GB2312" w:eastAsia="仿宋_GB2312" w:cs="仿宋_GB2312"/>
                <w:kern w:val="2"/>
                <w:sz w:val="24"/>
                <w:szCs w:val="24"/>
                <w:lang w:val="zh-CN" w:eastAsia="zh-CN" w:bidi="zh-CN"/>
              </w:rPr>
              <w:t>具有</w:t>
            </w:r>
            <w:r>
              <w:rPr>
                <w:rFonts w:hint="eastAsia" w:ascii="仿宋_GB2312" w:hAnsi="仿宋_GB2312" w:eastAsia="仿宋_GB2312" w:cs="仿宋_GB2312"/>
                <w:kern w:val="2"/>
                <w:sz w:val="24"/>
                <w:szCs w:val="24"/>
                <w:lang w:val="en-US" w:eastAsia="zh-CN" w:bidi="zh-CN"/>
              </w:rPr>
              <w:t>卫生相关专业的</w:t>
            </w:r>
            <w:r>
              <w:rPr>
                <w:rFonts w:hint="eastAsia" w:ascii="仿宋_GB2312" w:hAnsi="仿宋_GB2312" w:eastAsia="仿宋_GB2312" w:cs="仿宋_GB2312"/>
                <w:kern w:val="2"/>
                <w:sz w:val="24"/>
                <w:szCs w:val="24"/>
                <w:lang w:val="zh-CN" w:eastAsia="zh-CN" w:bidi="zh-CN"/>
              </w:rPr>
              <w:t>高级职称者，</w:t>
            </w:r>
            <w:r>
              <w:rPr>
                <w:rFonts w:hint="eastAsia" w:ascii="仿宋_GB2312" w:hAnsi="仿宋_GB2312" w:eastAsia="仿宋_GB2312" w:cs="仿宋_GB2312"/>
                <w:kern w:val="2"/>
                <w:sz w:val="24"/>
                <w:szCs w:val="24"/>
                <w:lang w:val="en-US" w:eastAsia="zh-CN" w:bidi="zh-CN"/>
              </w:rPr>
              <w:t>一名</w:t>
            </w:r>
            <w:r>
              <w:rPr>
                <w:rFonts w:hint="eastAsia" w:ascii="仿宋_GB2312" w:hAnsi="仿宋_GB2312" w:eastAsia="仿宋_GB2312" w:cs="仿宋_GB2312"/>
                <w:kern w:val="2"/>
                <w:sz w:val="24"/>
                <w:szCs w:val="24"/>
                <w:lang w:val="zh-CN" w:eastAsia="zh-CN" w:bidi="zh-CN"/>
              </w:rPr>
              <w:t>得</w:t>
            </w:r>
            <w:r>
              <w:rPr>
                <w:rFonts w:hint="eastAsia" w:ascii="仿宋_GB2312" w:hAnsi="仿宋_GB2312" w:eastAsia="仿宋_GB2312" w:cs="仿宋_GB2312"/>
                <w:kern w:val="2"/>
                <w:sz w:val="24"/>
                <w:szCs w:val="24"/>
                <w:lang w:val="en-US" w:eastAsia="zh-CN" w:bidi="zh-CN"/>
              </w:rPr>
              <w:t>2分。每增加一人增加2分，最高得10分。（提供社保证明或返聘及退休证书复印件）</w:t>
            </w:r>
          </w:p>
          <w:p>
            <w:pPr>
              <w:pStyle w:val="8"/>
              <w:keepNext w:val="0"/>
              <w:keepLines w:val="0"/>
              <w:pageBreakBefore w:val="0"/>
              <w:widowControl w:val="0"/>
              <w:kinsoku/>
              <w:wordWrap/>
              <w:overflowPunct/>
              <w:topLinePunct w:val="0"/>
              <w:autoSpaceDE/>
              <w:autoSpaceDN/>
              <w:bidi w:val="0"/>
              <w:adjustRightInd/>
              <w:snapToGrid/>
              <w:spacing w:before="5"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具有高新技术企业证书，</w:t>
            </w:r>
            <w:r>
              <w:rPr>
                <w:rFonts w:hint="eastAsia" w:ascii="仿宋_GB2312" w:hAnsi="仿宋_GB2312" w:eastAsia="仿宋_GB2312" w:cs="仿宋_GB2312"/>
                <w:sz w:val="24"/>
                <w:szCs w:val="24"/>
                <w:lang w:eastAsia="zh-CN"/>
              </w:rPr>
              <w:t>且资质为甲</w:t>
            </w:r>
            <w:r>
              <w:rPr>
                <w:rFonts w:hint="eastAsia" w:ascii="仿宋_GB2312" w:hAnsi="仿宋_GB2312" w:eastAsia="仿宋_GB2312" w:cs="仿宋_GB2312"/>
                <w:sz w:val="24"/>
                <w:szCs w:val="24"/>
              </w:rPr>
              <w:t>级的得</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分。（提供证书复印件加盖公章）</w:t>
            </w:r>
          </w:p>
          <w:p>
            <w:pPr>
              <w:pStyle w:val="8"/>
              <w:keepNext w:val="0"/>
              <w:keepLines w:val="0"/>
              <w:pageBreakBefore w:val="0"/>
              <w:widowControl w:val="0"/>
              <w:kinsoku/>
              <w:wordWrap/>
              <w:overflowPunct/>
              <w:topLinePunct w:val="0"/>
              <w:autoSpaceDE/>
              <w:autoSpaceDN/>
              <w:bidi w:val="0"/>
              <w:adjustRightInd/>
              <w:snapToGrid/>
              <w:spacing w:before="5" w:line="36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参选人具有经中国国家认证认可监督管理委员会认可的认证机构颁发的质量管理体系认证证书的，环境管理体系认证证书的，职业健康安全管理体系认证证书（体系证书须包含职业性职业病危害评价），每个得</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分，本项满分</w:t>
            </w: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分。</w:t>
            </w:r>
          </w:p>
          <w:p>
            <w:pPr>
              <w:pStyle w:val="8"/>
              <w:keepNext w:val="0"/>
              <w:keepLines w:val="0"/>
              <w:pageBreakBefore w:val="0"/>
              <w:widowControl w:val="0"/>
              <w:kinsoku/>
              <w:wordWrap/>
              <w:overflowPunct/>
              <w:topLinePunct w:val="0"/>
              <w:autoSpaceDE/>
              <w:autoSpaceDN/>
              <w:bidi w:val="0"/>
              <w:adjustRightInd/>
              <w:snapToGrid/>
              <w:spacing w:before="5" w:line="360" w:lineRule="auto"/>
              <w:jc w:val="left"/>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参选人提供自 2021年1月1日至今三甲医院与本项目类似合同复印件（评价、检测均可）以及甲方出具的验收合格证明（或者甲方出具的服务质量良好的满意度调查表），提供一份得5分，最高得20分。（需提供合作医院为三甲医院的证明，如医院官网截图等）</w:t>
            </w:r>
          </w:p>
        </w:tc>
        <w:tc>
          <w:tcPr>
            <w:tcW w:w="1950" w:type="dxa"/>
            <w:tcBorders>
              <w:tl2br w:val="nil"/>
              <w:tr2bl w:val="nil"/>
            </w:tcBorders>
            <w:noWrap w:val="0"/>
            <w:vAlign w:val="center"/>
          </w:tcPr>
          <w:p>
            <w:pPr>
              <w:pStyle w:val="8"/>
              <w:spacing w:line="360" w:lineRule="auto"/>
              <w:jc w:val="center"/>
              <w:rPr>
                <w:rFonts w:hint="eastAsia" w:ascii="仿宋_GB2312" w:hAnsi="仿宋_GB2312" w:eastAsia="仿宋_GB2312" w:cs="仿宋_GB2312"/>
                <w:b/>
                <w:sz w:val="24"/>
                <w:szCs w:val="24"/>
              </w:rPr>
            </w:pPr>
          </w:p>
          <w:p>
            <w:pPr>
              <w:pStyle w:val="8"/>
              <w:spacing w:line="360" w:lineRule="auto"/>
              <w:jc w:val="center"/>
              <w:rPr>
                <w:rFonts w:hint="eastAsia" w:ascii="仿宋_GB2312" w:hAnsi="仿宋_GB2312" w:eastAsia="仿宋_GB2312" w:cs="仿宋_GB2312"/>
                <w:b/>
                <w:sz w:val="24"/>
                <w:szCs w:val="24"/>
              </w:rPr>
            </w:pPr>
          </w:p>
          <w:p>
            <w:pPr>
              <w:pStyle w:val="8"/>
              <w:spacing w:before="4" w:line="360" w:lineRule="auto"/>
              <w:jc w:val="center"/>
              <w:rPr>
                <w:rFonts w:hint="eastAsia" w:ascii="仿宋_GB2312" w:hAnsi="仿宋_GB2312" w:eastAsia="仿宋_GB2312" w:cs="仿宋_GB2312"/>
                <w:b/>
                <w:sz w:val="24"/>
                <w:szCs w:val="24"/>
              </w:rPr>
            </w:pPr>
          </w:p>
          <w:p>
            <w:pPr>
              <w:pStyle w:val="8"/>
              <w:spacing w:line="360" w:lineRule="auto"/>
              <w:ind w:left="175" w:right="164"/>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50</w:t>
            </w:r>
            <w:r>
              <w:rPr>
                <w:rFonts w:hint="eastAsia" w:ascii="仿宋_GB2312" w:hAnsi="仿宋_GB2312" w:eastAsia="仿宋_GB2312" w:cs="仿宋_GB2312"/>
                <w:sz w:val="24"/>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828" w:type="dxa"/>
            <w:tcBorders>
              <w:tl2br w:val="nil"/>
              <w:tr2bl w:val="nil"/>
            </w:tcBorders>
            <w:noWrap w:val="0"/>
            <w:vAlign w:val="center"/>
          </w:tcPr>
          <w:p>
            <w:pPr>
              <w:pStyle w:val="8"/>
              <w:spacing w:before="206" w:line="360" w:lineRule="auto"/>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1339" w:type="dxa"/>
            <w:tcBorders>
              <w:tl2br w:val="nil"/>
              <w:tr2bl w:val="nil"/>
            </w:tcBorders>
            <w:noWrap w:val="0"/>
            <w:vAlign w:val="center"/>
          </w:tcPr>
          <w:p>
            <w:pPr>
              <w:pStyle w:val="8"/>
              <w:spacing w:before="206" w:line="360" w:lineRule="auto"/>
              <w:ind w:right="158"/>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业绩</w:t>
            </w:r>
          </w:p>
        </w:tc>
        <w:tc>
          <w:tcPr>
            <w:tcW w:w="10097" w:type="dxa"/>
            <w:tcBorders>
              <w:tl2br w:val="nil"/>
              <w:tr2bl w:val="nil"/>
            </w:tcBorders>
            <w:noWrap w:val="0"/>
            <w:vAlign w:val="top"/>
          </w:tcPr>
          <w:p>
            <w:pPr>
              <w:pStyle w:val="8"/>
              <w:numPr>
                <w:ilvl w:val="0"/>
                <w:numId w:val="0"/>
              </w:numPr>
              <w:spacing w:before="139" w:line="360" w:lineRule="auto"/>
              <w:ind w:right="95" w:rightChars="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提供自2021年1月1日至今，参选人具有三甲医院检测内容包含PET、SPECT、直线加速器相关的业绩，每个项目业绩得2分，最高得10 分；（需提供合作医院为三甲医院的证明，如医院官网截图等）</w:t>
            </w:r>
            <w:bookmarkStart w:id="0" w:name="_GoBack"/>
            <w:bookmarkEnd w:id="0"/>
          </w:p>
        </w:tc>
        <w:tc>
          <w:tcPr>
            <w:tcW w:w="1950" w:type="dxa"/>
            <w:tcBorders>
              <w:tl2br w:val="nil"/>
              <w:tr2bl w:val="nil"/>
            </w:tcBorders>
            <w:noWrap w:val="0"/>
            <w:vAlign w:val="center"/>
          </w:tcPr>
          <w:p>
            <w:pPr>
              <w:pStyle w:val="8"/>
              <w:spacing w:before="206" w:line="360" w:lineRule="auto"/>
              <w:ind w:right="164"/>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10</w:t>
            </w:r>
            <w:r>
              <w:rPr>
                <w:rFonts w:hint="eastAsia" w:ascii="仿宋_GB2312" w:hAnsi="仿宋_GB2312" w:eastAsia="仿宋_GB2312" w:cs="仿宋_GB2312"/>
                <w:sz w:val="24"/>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5" w:hRule="atLeast"/>
        </w:trPr>
        <w:tc>
          <w:tcPr>
            <w:tcW w:w="828" w:type="dxa"/>
            <w:tcBorders>
              <w:tl2br w:val="nil"/>
              <w:tr2bl w:val="nil"/>
            </w:tcBorders>
            <w:noWrap w:val="0"/>
            <w:vAlign w:val="center"/>
          </w:tcPr>
          <w:p>
            <w:pPr>
              <w:pStyle w:val="8"/>
              <w:spacing w:line="360" w:lineRule="auto"/>
              <w:ind w:right="178"/>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xml:space="preserve"> 3</w:t>
            </w:r>
          </w:p>
        </w:tc>
        <w:tc>
          <w:tcPr>
            <w:tcW w:w="1339" w:type="dxa"/>
            <w:tcBorders>
              <w:tl2br w:val="nil"/>
              <w:tr2bl w:val="nil"/>
            </w:tcBorders>
            <w:noWrap w:val="0"/>
            <w:vAlign w:val="center"/>
          </w:tcPr>
          <w:p>
            <w:pPr>
              <w:pStyle w:val="8"/>
              <w:spacing w:line="360" w:lineRule="auto"/>
              <w:ind w:right="178"/>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服务方案</w:t>
            </w:r>
          </w:p>
        </w:tc>
        <w:tc>
          <w:tcPr>
            <w:tcW w:w="10097"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根据磋商文件的需求,服务方案的合理性和可操作性等进行综合评分。</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（1）全部响应且方案明确、可行，针对性强，完成本项目有保障的，得10-7分；</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（2）响应良好且方案明确、可行，针对性较强，基本能完成本项目的，得6-4分；</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（3）响应一般且方案不明确、可行性一般、针对性不强的，得3-1分；</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（4）基本不响应且未提供方案的不得分。</w:t>
            </w:r>
          </w:p>
        </w:tc>
        <w:tc>
          <w:tcPr>
            <w:tcW w:w="1950" w:type="dxa"/>
            <w:tcBorders>
              <w:tl2br w:val="nil"/>
              <w:tr2bl w:val="nil"/>
            </w:tcBorders>
            <w:noWrap w:val="0"/>
            <w:vAlign w:val="center"/>
          </w:tcPr>
          <w:p>
            <w:pPr>
              <w:pStyle w:val="8"/>
              <w:spacing w:line="360" w:lineRule="auto"/>
              <w:ind w:right="164"/>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12264" w:type="dxa"/>
            <w:gridSpan w:val="3"/>
            <w:tcBorders>
              <w:tl2br w:val="nil"/>
              <w:tr2bl w:val="nil"/>
            </w:tcBorders>
            <w:noWrap w:val="0"/>
            <w:vAlign w:val="top"/>
          </w:tcPr>
          <w:p>
            <w:pPr>
              <w:pStyle w:val="8"/>
              <w:tabs>
                <w:tab w:val="left" w:pos="1216"/>
              </w:tabs>
              <w:spacing w:before="23" w:line="360" w:lineRule="auto"/>
              <w:ind w:left="12"/>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合</w:t>
            </w:r>
            <w:r>
              <w:rPr>
                <w:rFonts w:hint="eastAsia" w:ascii="仿宋_GB2312" w:hAnsi="仿宋_GB2312" w:eastAsia="仿宋_GB2312" w:cs="仿宋_GB2312"/>
                <w:kern w:val="2"/>
                <w:sz w:val="24"/>
                <w:szCs w:val="24"/>
                <w:lang w:val="en-US" w:eastAsia="zh-CN" w:bidi="ar-SA"/>
              </w:rPr>
              <w:tab/>
            </w:r>
            <w:r>
              <w:rPr>
                <w:rFonts w:hint="eastAsia" w:ascii="仿宋_GB2312" w:hAnsi="仿宋_GB2312" w:eastAsia="仿宋_GB2312" w:cs="仿宋_GB2312"/>
                <w:kern w:val="2"/>
                <w:sz w:val="24"/>
                <w:szCs w:val="24"/>
                <w:lang w:val="en-US" w:eastAsia="zh-CN" w:bidi="ar-SA"/>
              </w:rPr>
              <w:t>计</w:t>
            </w:r>
          </w:p>
        </w:tc>
        <w:tc>
          <w:tcPr>
            <w:tcW w:w="1950" w:type="dxa"/>
            <w:tcBorders>
              <w:tl2br w:val="nil"/>
              <w:tr2bl w:val="nil"/>
            </w:tcBorders>
            <w:noWrap w:val="0"/>
            <w:vAlign w:val="top"/>
          </w:tcPr>
          <w:p>
            <w:pPr>
              <w:pStyle w:val="8"/>
              <w:spacing w:before="23" w:line="360" w:lineRule="auto"/>
              <w:ind w:left="175" w:right="164"/>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70分</w:t>
            </w:r>
          </w:p>
        </w:tc>
      </w:tr>
    </w:tbl>
    <w:p>
      <w:pPr>
        <w:pStyle w:val="9"/>
        <w:spacing w:line="360" w:lineRule="auto"/>
        <w:rPr>
          <w:rFonts w:hint="eastAsia" w:ascii="宋体" w:hAnsi="宋体" w:eastAsia="宋体" w:cs="宋体"/>
          <w:sz w:val="24"/>
          <w:szCs w:val="24"/>
          <w:lang w:eastAsia="zh-CN"/>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mNDM2ZjZiNTk4YTMwZDE1YjBmOTljYWM3MjEwY2QifQ=="/>
  </w:docVars>
  <w:rsids>
    <w:rsidRoot w:val="00000000"/>
    <w:rsid w:val="08B509F2"/>
    <w:rsid w:val="0BA67416"/>
    <w:rsid w:val="2F757047"/>
    <w:rsid w:val="31E8498F"/>
    <w:rsid w:val="32193B87"/>
    <w:rsid w:val="4CDF39B0"/>
    <w:rsid w:val="509C4DA0"/>
    <w:rsid w:val="594079B7"/>
    <w:rsid w:val="5A4E1DAF"/>
    <w:rsid w:val="5F8C29BD"/>
    <w:rsid w:val="72606A84"/>
    <w:rsid w:val="7511363E"/>
    <w:rsid w:val="7FE95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qFormat/>
    <w:uiPriority w:val="0"/>
    <w:pPr>
      <w:keepNext/>
      <w:keepLines/>
      <w:spacing w:line="413" w:lineRule="auto"/>
      <w:outlineLvl w:val="2"/>
    </w:pPr>
    <w:rPr>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after="120"/>
    </w:pPr>
  </w:style>
  <w:style w:type="paragraph" w:styleId="4">
    <w:name w:val="toc 1"/>
    <w:basedOn w:val="1"/>
    <w:next w:val="1"/>
    <w:qFormat/>
    <w:uiPriority w:val="0"/>
    <w:pPr>
      <w:tabs>
        <w:tab w:val="right" w:leader="dot" w:pos="8835"/>
      </w:tabs>
      <w:spacing w:before="120" w:beforeLines="0" w:after="120" w:afterLines="0"/>
      <w:jc w:val="left"/>
    </w:pPr>
    <w:rPr>
      <w:rFonts w:ascii="黑体" w:hAnsi="宋体" w:eastAsia="黑体"/>
      <w:caps/>
      <w:szCs w:val="21"/>
    </w:rPr>
  </w:style>
  <w:style w:type="paragraph" w:customStyle="1" w:styleId="7">
    <w:name w:val="List Paragraph"/>
    <w:basedOn w:val="1"/>
    <w:qFormat/>
    <w:uiPriority w:val="99"/>
    <w:pPr>
      <w:widowControl/>
      <w:spacing w:after="200" w:line="276" w:lineRule="auto"/>
      <w:ind w:left="720"/>
      <w:contextualSpacing/>
      <w:jc w:val="left"/>
    </w:pPr>
    <w:rPr>
      <w:rFonts w:ascii="Calibri" w:hAnsi="Calibri"/>
      <w:kern w:val="0"/>
      <w:sz w:val="22"/>
      <w:szCs w:val="22"/>
    </w:rPr>
  </w:style>
  <w:style w:type="paragraph" w:customStyle="1" w:styleId="8">
    <w:name w:val="Table Paragraph"/>
    <w:basedOn w:val="1"/>
    <w:qFormat/>
    <w:uiPriority w:val="1"/>
    <w:rPr>
      <w:rFonts w:ascii="宋体" w:hAnsi="宋体" w:eastAsia="宋体" w:cs="宋体"/>
      <w:lang w:val="zh-CN" w:eastAsia="zh-CN" w:bidi="zh-CN"/>
    </w:rPr>
  </w:style>
  <w:style w:type="paragraph" w:customStyle="1" w:styleId="9">
    <w:name w:val="TOC1"/>
    <w:basedOn w:val="1"/>
    <w:next w:val="1"/>
    <w:qFormat/>
    <w:uiPriority w:val="0"/>
    <w:pPr>
      <w:tabs>
        <w:tab w:val="bar" w:leader="underscore" w:pos="9345"/>
      </w:tabs>
      <w:spacing w:before="120" w:after="120" w:line="360" w:lineRule="auto"/>
      <w:jc w:val="left"/>
    </w:pPr>
    <w:rPr>
      <w:rFonts w:ascii="宋体" w:hAnsi="宋体" w:eastAsia="宋体" w:cs="Courier New"/>
      <w:bCs/>
      <w:caps/>
      <w:kern w:val="44"/>
      <w:sz w:val="32"/>
      <w:szCs w:val="3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1048</Words>
  <Characters>1087</Characters>
  <Lines>0</Lines>
  <Paragraphs>0</Paragraphs>
  <TotalTime>2</TotalTime>
  <ScaleCrop>false</ScaleCrop>
  <LinksUpToDate>false</LinksUpToDate>
  <CharactersWithSpaces>1107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2022-03-14T03:58:00Z</dcterms:created>
  <dc:creator>yjs</dc:creator>
  <cp:lastModifiedBy>简单点</cp:lastModifiedBy>
  <dcterms:modified xsi:type="dcterms:W3CDTF">2024-04-22T09:06:01Z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800585A82B17421EA59A84703554F32B</vt:lpwstr>
  </property>
</Properties>
</file>