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TAP交换机采购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参数</w:t>
      </w:r>
      <w:bookmarkStart w:id="0" w:name="_GoBack"/>
      <w:bookmarkEnd w:id="0"/>
    </w:p>
    <w:tbl>
      <w:tblPr>
        <w:tblStyle w:val="3"/>
        <w:tblW w:w="14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9729"/>
        <w:gridCol w:w="1083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9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技术规格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TAP交换机</w:t>
            </w:r>
          </w:p>
        </w:tc>
        <w:tc>
          <w:tcPr>
            <w:tcW w:w="9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1.交换容量≥4.8Tbps，包转发率≥2000Mpps。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2.固定SFP+光口≥48个，40G光接口≥2个，100G光接口≥4个。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3.支持TAP功能，包括流量的识别处理、流量的负载均衡、将流量进行N:M的镜像，提供相关证明材料。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4.支持流量采样技术，如sFLOW/Netflow。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5.支持剥离VLAN标记，解封装GRE/NVGRE/VXLAN隧道。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6.支持基于VxLAN、NVGRE等隧道内层信息做负载均衡。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7.支持IPv4、IPv6静态路由，RIP等三层动态路由协议。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8.支持识别报文头及更改报文信息，支持删除、重标记、添加VLAN，支持重标记报文的IP/MAC地址，添加时间戳。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9.本资配置两块交流电源，8个万兆多模、6个万兆单模、4个千兆单模光模块及配套线缆辅材。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10.提供三年原厂质保及本次安装配置服务。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jllNDg3M2E2ZDE2M2IxNGNiMTA4MmE2YmQ4N2YifQ=="/>
  </w:docVars>
  <w:rsids>
    <w:rsidRoot w:val="00000000"/>
    <w:rsid w:val="0B7370A0"/>
    <w:rsid w:val="334465EA"/>
    <w:rsid w:val="7E1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384</Characters>
  <Lines>0</Lines>
  <Paragraphs>0</Paragraphs>
  <TotalTime>0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2022-11-28T02:32:00Z</dcterms:created>
  <dc:creator>Nex</dc:creator>
  <cp:lastModifiedBy>胡红雨</cp:lastModifiedBy>
  <dcterms:modified xsi:type="dcterms:W3CDTF">2022-11-28T02:41:46Z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37DC30301C1B4A86949291C37C15C970</vt:lpwstr>
  </property>
</Properties>
</file>